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4D" w:rsidRPr="00760A4D" w:rsidRDefault="00760A4D" w:rsidP="007D7E95">
      <w:pPr>
        <w:bidi/>
        <w:spacing w:after="0" w:line="240" w:lineRule="auto"/>
        <w:rPr>
          <w:rFonts w:ascii="Times New Roman" w:eastAsia="Times New Roman" w:hAnsi="Times New Roman" w:cs="B Zar"/>
          <w:b/>
          <w:bCs/>
          <w:rtl/>
          <w:lang w:bidi="fa-IR"/>
        </w:rPr>
      </w:pPr>
      <w:r w:rsidRPr="00760A4D">
        <w:rPr>
          <w:rFonts w:ascii="Times New Roman" w:eastAsia="Times New Roman" w:hAnsi="Times New Roman" w:cs="B Zar"/>
          <w:b/>
          <w:bCs/>
          <w:sz w:val="24"/>
          <w:szCs w:val="24"/>
          <w:rtl/>
          <w:lang w:eastAsia="zh-CN" w:bidi="fa-IR"/>
        </w:rPr>
        <w:t>- وضعيت تخصيص آب</w:t>
      </w:r>
      <w:r w:rsidRPr="00760A4D">
        <w:rPr>
          <w:rFonts w:ascii="Times New Roman" w:eastAsia="Times New Roman" w:hAnsi="Times New Roman" w:cs="B Zar" w:hint="cs"/>
          <w:b/>
          <w:bCs/>
          <w:sz w:val="24"/>
          <w:szCs w:val="24"/>
          <w:rtl/>
          <w:lang w:eastAsia="zh-CN" w:bidi="fa-IR"/>
        </w:rPr>
        <w:t xml:space="preserve"> داده شده</w:t>
      </w:r>
      <w:r w:rsidRPr="00760A4D">
        <w:rPr>
          <w:rFonts w:ascii="Times New Roman" w:eastAsia="Times New Roman" w:hAnsi="Times New Roman" w:cs="B Zar"/>
          <w:b/>
          <w:bCs/>
          <w:sz w:val="24"/>
          <w:szCs w:val="24"/>
          <w:rtl/>
          <w:lang w:eastAsia="zh-CN" w:bidi="fa-IR"/>
        </w:rPr>
        <w:t xml:space="preserve"> (خالص)</w:t>
      </w:r>
      <w:r w:rsidRPr="00760A4D">
        <w:rPr>
          <w:rFonts w:ascii="Times New Roman" w:eastAsia="Times New Roman" w:hAnsi="Times New Roman" w:cs="B Zar"/>
          <w:b/>
          <w:bCs/>
          <w:sz w:val="24"/>
          <w:szCs w:val="24"/>
          <w:rtl/>
          <w:lang w:bidi="fa-IR"/>
        </w:rPr>
        <w:tab/>
      </w:r>
      <w:bookmarkStart w:id="0" w:name="_GoBack"/>
      <w:bookmarkEnd w:id="0"/>
      <w:r w:rsidRPr="00760A4D">
        <w:rPr>
          <w:rFonts w:ascii="Times New Roman" w:eastAsia="Times New Roman" w:hAnsi="Times New Roman" w:cs="B Zar"/>
          <w:b/>
          <w:bCs/>
          <w:rtl/>
          <w:lang w:bidi="fa-IR"/>
        </w:rPr>
        <w:tab/>
      </w:r>
      <w:r w:rsidRPr="00760A4D">
        <w:rPr>
          <w:rFonts w:ascii="Times New Roman" w:eastAsia="Times New Roman" w:hAnsi="Times New Roman" w:cs="B Zar"/>
          <w:b/>
          <w:bCs/>
          <w:rtl/>
          <w:lang w:bidi="fa-IR"/>
        </w:rPr>
        <w:tab/>
      </w:r>
      <w:r w:rsidR="007D7E95">
        <w:rPr>
          <w:rFonts w:ascii="Times New Roman" w:eastAsia="Times New Roman" w:hAnsi="Times New Roman" w:cs="B Zar" w:hint="cs"/>
          <w:b/>
          <w:bCs/>
          <w:rtl/>
          <w:lang w:bidi="fa-IR"/>
        </w:rPr>
        <w:t>سال مورد گزارش:1401</w:t>
      </w:r>
      <w:r w:rsidRPr="00760A4D">
        <w:rPr>
          <w:rFonts w:ascii="Times New Roman" w:eastAsia="Times New Roman" w:hAnsi="Times New Roman" w:cs="B Zar"/>
          <w:b/>
          <w:bCs/>
          <w:rtl/>
          <w:lang w:bidi="fa-IR"/>
        </w:rPr>
        <w:tab/>
      </w:r>
      <w:r w:rsidRPr="00760A4D">
        <w:rPr>
          <w:rFonts w:ascii="Times New Roman" w:eastAsia="Times New Roman" w:hAnsi="Times New Roman" w:cs="B Zar"/>
          <w:b/>
          <w:bCs/>
          <w:rtl/>
          <w:lang w:bidi="fa-IR"/>
        </w:rPr>
        <w:tab/>
        <w:t xml:space="preserve">                                      </w:t>
      </w:r>
      <w:r w:rsidRPr="00760A4D">
        <w:rPr>
          <w:rFonts w:ascii="Times New Roman" w:eastAsia="Times New Roman" w:hAnsi="Times New Roman" w:cs="B Zar" w:hint="cs"/>
          <w:b/>
          <w:bCs/>
          <w:rtl/>
          <w:lang w:bidi="fa-IR"/>
        </w:rPr>
        <w:t xml:space="preserve">          </w:t>
      </w:r>
      <w:r w:rsidRPr="00760A4D">
        <w:rPr>
          <w:rFonts w:ascii="Times New Roman" w:eastAsia="Times New Roman" w:hAnsi="Times New Roman" w:cs="B Zar"/>
          <w:b/>
          <w:bCs/>
          <w:rtl/>
          <w:lang w:bidi="fa-IR"/>
        </w:rPr>
        <w:t xml:space="preserve">     </w:t>
      </w:r>
      <w:r w:rsidRPr="00760A4D">
        <w:rPr>
          <w:rFonts w:ascii="Times New Roman" w:eastAsia="Times New Roman" w:hAnsi="Times New Roman" w:cs="B Zar" w:hint="cs"/>
          <w:b/>
          <w:bCs/>
          <w:rtl/>
          <w:lang w:bidi="fa-IR"/>
        </w:rPr>
        <w:t xml:space="preserve">   </w:t>
      </w:r>
      <w:r w:rsidRPr="00760A4D">
        <w:rPr>
          <w:rFonts w:ascii="Times New Roman" w:eastAsia="Times New Roman" w:hAnsi="Times New Roman" w:cs="B Zar"/>
          <w:b/>
          <w:bCs/>
          <w:rtl/>
          <w:lang w:bidi="fa-IR"/>
        </w:rPr>
        <w:t xml:space="preserve">      </w:t>
      </w:r>
      <w:r w:rsidRPr="00760A4D">
        <w:rPr>
          <w:rFonts w:ascii="Times New Roman" w:eastAsia="Times New Roman" w:hAnsi="Times New Roman" w:cs="B Zar" w:hint="cs"/>
          <w:b/>
          <w:bCs/>
          <w:rtl/>
          <w:lang w:bidi="fa-IR"/>
        </w:rPr>
        <w:t>(</w:t>
      </w:r>
      <w:r w:rsidRPr="00760A4D">
        <w:rPr>
          <w:rFonts w:ascii="Times New Roman" w:eastAsia="Times New Roman" w:hAnsi="Times New Roman" w:cs="B Zar"/>
          <w:b/>
          <w:bCs/>
          <w:rtl/>
          <w:lang w:bidi="fa-IR"/>
        </w:rPr>
        <w:t xml:space="preserve"> </w:t>
      </w:r>
      <w:r w:rsidRPr="00760A4D">
        <w:rPr>
          <w:rFonts w:ascii="Times New Roman" w:eastAsia="Times New Roman" w:hAnsi="Times New Roman" w:cs="B Zar"/>
          <w:rtl/>
          <w:lang w:bidi="fa-IR"/>
        </w:rPr>
        <w:t>متر مکعب در سال</w:t>
      </w:r>
      <w:r w:rsidRPr="00760A4D">
        <w:rPr>
          <w:rFonts w:ascii="Times New Roman" w:eastAsia="Times New Roman" w:hAnsi="Times New Roman" w:cs="B Zar" w:hint="cs"/>
          <w:b/>
          <w:bCs/>
          <w:rtl/>
          <w:lang w:bidi="fa-IR"/>
        </w:rPr>
        <w:t>)</w:t>
      </w:r>
    </w:p>
    <w:tbl>
      <w:tblPr>
        <w:bidiVisual/>
        <w:tblW w:w="5000" w:type="pct"/>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475"/>
        <w:gridCol w:w="1943"/>
        <w:gridCol w:w="1119"/>
        <w:gridCol w:w="1195"/>
        <w:gridCol w:w="969"/>
        <w:gridCol w:w="1120"/>
        <w:gridCol w:w="1120"/>
        <w:gridCol w:w="1270"/>
        <w:gridCol w:w="1344"/>
        <w:gridCol w:w="1120"/>
        <w:gridCol w:w="1195"/>
      </w:tblGrid>
      <w:tr w:rsidR="00760A4D" w:rsidRPr="00760A4D" w:rsidTr="00760A4D">
        <w:trPr>
          <w:trHeight w:val="675"/>
        </w:trPr>
        <w:tc>
          <w:tcPr>
            <w:tcW w:w="914" w:type="pct"/>
            <w:gridSpan w:val="2"/>
            <w:shd w:val="clear" w:color="auto" w:fill="D6E3BC"/>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438" w:type="pct"/>
            <w:shd w:val="clear" w:color="auto" w:fill="D6E3BC"/>
            <w:vAlign w:val="center"/>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حوضه آبریز آبریز سیاه کوه</w:t>
            </w:r>
          </w:p>
        </w:tc>
        <w:tc>
          <w:tcPr>
            <w:tcW w:w="467" w:type="pct"/>
            <w:shd w:val="clear" w:color="auto" w:fill="D6E3BC"/>
            <w:vAlign w:val="center"/>
          </w:tcPr>
          <w:p w:rsidR="00760A4D" w:rsidRPr="00760A4D" w:rsidRDefault="00760A4D" w:rsidP="00760A4D">
            <w:pPr>
              <w:bidi/>
              <w:spacing w:after="0" w:line="240" w:lineRule="auto"/>
              <w:jc w:val="center"/>
              <w:rPr>
                <w:rFonts w:ascii="Times New Roman" w:eastAsia="Times New Roman" w:hAnsi="Times New Roman" w:cs="Traditional Arabic"/>
                <w:b/>
                <w:bCs/>
                <w:sz w:val="16"/>
                <w:szCs w:val="16"/>
                <w:lang w:eastAsia="zh-CN"/>
              </w:rPr>
            </w:pPr>
            <w:r w:rsidRPr="00760A4D">
              <w:rPr>
                <w:rFonts w:ascii="Arial" w:eastAsia="Times New Roman" w:hAnsi="Arial" w:cs="B Zar" w:hint="cs"/>
                <w:b/>
                <w:bCs/>
                <w:sz w:val="16"/>
                <w:szCs w:val="16"/>
                <w:rtl/>
                <w:lang w:bidi="fa-IR"/>
              </w:rPr>
              <w:t>حوضه آبریز کویر مرکزی</w:t>
            </w:r>
          </w:p>
        </w:tc>
        <w:tc>
          <w:tcPr>
            <w:tcW w:w="379" w:type="pct"/>
            <w:shd w:val="clear" w:color="auto" w:fill="D6E3BC"/>
            <w:vAlign w:val="center"/>
          </w:tcPr>
          <w:p w:rsidR="00760A4D" w:rsidRPr="00760A4D" w:rsidRDefault="00760A4D" w:rsidP="00760A4D">
            <w:pPr>
              <w:bidi/>
              <w:spacing w:after="0" w:line="240" w:lineRule="auto"/>
              <w:jc w:val="center"/>
              <w:rPr>
                <w:rFonts w:ascii="Times New Roman" w:eastAsia="Times New Roman" w:hAnsi="Times New Roman" w:cs="Traditional Arabic"/>
                <w:b/>
                <w:bCs/>
                <w:sz w:val="16"/>
                <w:szCs w:val="16"/>
                <w:lang w:eastAsia="zh-CN"/>
              </w:rPr>
            </w:pPr>
            <w:r w:rsidRPr="00760A4D">
              <w:rPr>
                <w:rFonts w:ascii="Arial" w:eastAsia="Times New Roman" w:hAnsi="Arial" w:cs="B Zar" w:hint="cs"/>
                <w:b/>
                <w:bCs/>
                <w:sz w:val="16"/>
                <w:szCs w:val="16"/>
                <w:rtl/>
                <w:lang w:bidi="fa-IR"/>
              </w:rPr>
              <w:t>حوضه آبریز کارون بزرگ</w:t>
            </w:r>
          </w:p>
        </w:tc>
        <w:tc>
          <w:tcPr>
            <w:tcW w:w="438" w:type="pct"/>
            <w:shd w:val="clear" w:color="auto" w:fill="D6E3BC"/>
            <w:vAlign w:val="center"/>
          </w:tcPr>
          <w:p w:rsidR="00760A4D" w:rsidRPr="00760A4D" w:rsidRDefault="00760A4D" w:rsidP="00760A4D">
            <w:pPr>
              <w:bidi/>
              <w:spacing w:after="0" w:line="240" w:lineRule="auto"/>
              <w:jc w:val="center"/>
              <w:rPr>
                <w:rFonts w:ascii="Times New Roman" w:eastAsia="Times New Roman" w:hAnsi="Times New Roman" w:cs="Traditional Arabic"/>
                <w:b/>
                <w:bCs/>
                <w:sz w:val="16"/>
                <w:szCs w:val="16"/>
                <w:lang w:eastAsia="zh-CN"/>
              </w:rPr>
            </w:pPr>
            <w:r w:rsidRPr="00760A4D">
              <w:rPr>
                <w:rFonts w:ascii="Arial" w:eastAsia="Times New Roman" w:hAnsi="Arial" w:cs="B Zar" w:hint="cs"/>
                <w:b/>
                <w:bCs/>
                <w:sz w:val="16"/>
                <w:szCs w:val="16"/>
                <w:rtl/>
                <w:lang w:bidi="fa-IR"/>
              </w:rPr>
              <w:t>حوضه آبریز گاوخونی</w:t>
            </w:r>
          </w:p>
        </w:tc>
        <w:tc>
          <w:tcPr>
            <w:tcW w:w="438" w:type="pct"/>
            <w:shd w:val="clear" w:color="auto" w:fill="D6E3BC"/>
            <w:vAlign w:val="center"/>
          </w:tcPr>
          <w:p w:rsidR="00760A4D" w:rsidRPr="00760A4D" w:rsidRDefault="00760A4D" w:rsidP="00760A4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حوضه آبریز دریاچه نمک</w:t>
            </w:r>
          </w:p>
        </w:tc>
        <w:tc>
          <w:tcPr>
            <w:tcW w:w="496" w:type="pct"/>
            <w:shd w:val="clear" w:color="auto" w:fill="D6E3BC"/>
            <w:vAlign w:val="center"/>
          </w:tcPr>
          <w:p w:rsidR="00760A4D" w:rsidRPr="00760A4D" w:rsidRDefault="00760A4D" w:rsidP="00760A4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حوضه آبریز کویر ریگ زرین</w:t>
            </w:r>
          </w:p>
        </w:tc>
        <w:tc>
          <w:tcPr>
            <w:tcW w:w="525" w:type="pct"/>
            <w:shd w:val="clear" w:color="auto" w:fill="D6E3BC"/>
            <w:vAlign w:val="center"/>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 استاني  سال موردگزارش</w:t>
            </w:r>
          </w:p>
        </w:tc>
        <w:tc>
          <w:tcPr>
            <w:tcW w:w="438" w:type="pct"/>
            <w:shd w:val="clear" w:color="auto" w:fill="D6E3BC"/>
            <w:vAlign w:val="center"/>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 استاني سال قبل</w:t>
            </w:r>
          </w:p>
        </w:tc>
        <w:tc>
          <w:tcPr>
            <w:tcW w:w="467" w:type="pct"/>
            <w:shd w:val="clear" w:color="auto" w:fill="D6E3BC"/>
            <w:vAlign w:val="center"/>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تجمعي تا سال مورد گزارش</w:t>
            </w:r>
          </w:p>
        </w:tc>
      </w:tr>
      <w:tr w:rsidR="00760A4D" w:rsidRPr="00760A4D" w:rsidTr="00760A4D">
        <w:trPr>
          <w:trHeight w:val="321"/>
        </w:trPr>
        <w:tc>
          <w:tcPr>
            <w:tcW w:w="156" w:type="pct"/>
            <w:vMerge w:val="restart"/>
            <w:shd w:val="clear" w:color="auto" w:fill="auto"/>
            <w:textDirection w:val="btLr"/>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از محل منابع آب سطحی</w:t>
            </w: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کشاورزي</w:t>
            </w:r>
            <w:r w:rsidRPr="00760A4D">
              <w:rPr>
                <w:rFonts w:ascii="Arial" w:eastAsia="Times New Roman" w:hAnsi="Arial" w:cs="B Zar" w:hint="cs"/>
                <w:b/>
                <w:bCs/>
                <w:sz w:val="20"/>
                <w:szCs w:val="20"/>
                <w:rtl/>
                <w:lang w:bidi="fa-IR"/>
              </w:rPr>
              <w:t>*</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200،000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200،000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صنعتي</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شرب شهري و روستايي</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آبزي پروري***</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473040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473040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473040</w:t>
            </w:r>
          </w:p>
        </w:tc>
      </w:tr>
      <w:tr w:rsidR="00760A4D" w:rsidRPr="00760A4D" w:rsidTr="00760A4D">
        <w:trPr>
          <w:trHeight w:val="30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خدمات(تفريحي، توريستي،...)</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336"/>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بسته بندي و مظروف</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ساير</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267"/>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EAF1DD"/>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473040</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473040</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200،000</w:t>
            </w:r>
          </w:p>
        </w:tc>
        <w:tc>
          <w:tcPr>
            <w:tcW w:w="467"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673040</w:t>
            </w:r>
          </w:p>
        </w:tc>
      </w:tr>
      <w:tr w:rsidR="00760A4D" w:rsidRPr="00760A4D" w:rsidTr="00760A4D">
        <w:trPr>
          <w:trHeight w:val="360"/>
        </w:trPr>
        <w:tc>
          <w:tcPr>
            <w:tcW w:w="156" w:type="pct"/>
            <w:vMerge w:val="restart"/>
            <w:shd w:val="clear" w:color="auto" w:fill="auto"/>
            <w:textDirection w:val="btLr"/>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از محل منابع آب زيرزميني</w:t>
            </w: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کشاورزي</w:t>
            </w:r>
            <w:r w:rsidRPr="00760A4D">
              <w:rPr>
                <w:rFonts w:ascii="Arial" w:eastAsia="Times New Roman" w:hAnsi="Arial" w:cs="B Zar" w:hint="cs"/>
                <w:b/>
                <w:bCs/>
                <w:sz w:val="20"/>
                <w:szCs w:val="20"/>
                <w:rtl/>
                <w:lang w:bidi="fa-IR"/>
              </w:rPr>
              <w:t>**</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3000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1200</w:t>
            </w:r>
          </w:p>
        </w:tc>
        <w:tc>
          <w:tcPr>
            <w:tcW w:w="438"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000000"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4200</w:t>
            </w:r>
          </w:p>
        </w:tc>
        <w:tc>
          <w:tcPr>
            <w:tcW w:w="438" w:type="pct"/>
            <w:shd w:val="clear" w:color="000000"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27،000</w:t>
            </w:r>
          </w:p>
        </w:tc>
        <w:tc>
          <w:tcPr>
            <w:tcW w:w="467" w:type="pct"/>
            <w:shd w:val="clear" w:color="000000"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31200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صنعت و ساير مصارف****</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1500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12000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61200</w:t>
            </w:r>
          </w:p>
        </w:tc>
        <w:tc>
          <w:tcPr>
            <w:tcW w:w="438"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34500</w:t>
            </w:r>
          </w:p>
        </w:tc>
        <w:tc>
          <w:tcPr>
            <w:tcW w:w="496"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FFFFFF"/>
            <w:noWrap/>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109200</w:t>
            </w:r>
          </w:p>
        </w:tc>
        <w:tc>
          <w:tcPr>
            <w:tcW w:w="438"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334،800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444000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شرب آبفا و آبفار</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62360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64800</w:t>
            </w:r>
          </w:p>
        </w:tc>
        <w:tc>
          <w:tcPr>
            <w:tcW w:w="496"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127160</w:t>
            </w:r>
          </w:p>
        </w:tc>
        <w:tc>
          <w:tcPr>
            <w:tcW w:w="438"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259،200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386360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آبزي پروري</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خدمات (تفريحي، توريستي، ...)</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20700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5400</w:t>
            </w:r>
          </w:p>
        </w:tc>
        <w:tc>
          <w:tcPr>
            <w:tcW w:w="496"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26100</w:t>
            </w:r>
          </w:p>
        </w:tc>
        <w:tc>
          <w:tcPr>
            <w:tcW w:w="438"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20،400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46500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بسته بندي و مظروف</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360"/>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auto"/>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ساير</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FFFFFF"/>
            <w:vAlign w:val="center"/>
          </w:tcPr>
          <w:p w:rsidR="00760A4D" w:rsidRPr="00760A4D" w:rsidRDefault="00760A4D" w:rsidP="00760A4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FFFFFF"/>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166"/>
        </w:trPr>
        <w:tc>
          <w:tcPr>
            <w:tcW w:w="156" w:type="pct"/>
            <w:vMerge/>
            <w:vAlign w:val="center"/>
            <w:hideMark/>
          </w:tcPr>
          <w:p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8" w:type="pct"/>
            <w:shd w:val="clear" w:color="auto" w:fill="EAF1DD"/>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1500</w:t>
            </w:r>
          </w:p>
        </w:tc>
        <w:tc>
          <w:tcPr>
            <w:tcW w:w="467"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77360</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83100</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104700</w:t>
            </w:r>
          </w:p>
        </w:tc>
        <w:tc>
          <w:tcPr>
            <w:tcW w:w="496"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266660</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641،400</w:t>
            </w:r>
          </w:p>
        </w:tc>
        <w:tc>
          <w:tcPr>
            <w:tcW w:w="467"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908060</w:t>
            </w:r>
          </w:p>
        </w:tc>
      </w:tr>
      <w:tr w:rsidR="00760A4D" w:rsidRPr="00760A4D" w:rsidTr="00760A4D">
        <w:trPr>
          <w:trHeight w:val="360"/>
        </w:trPr>
        <w:tc>
          <w:tcPr>
            <w:tcW w:w="156" w:type="pct"/>
            <w:vMerge w:val="restart"/>
            <w:shd w:val="clear" w:color="auto" w:fill="auto"/>
            <w:textDirection w:val="btLr"/>
            <w:vAlign w:val="center"/>
          </w:tcPr>
          <w:p w:rsidR="00760A4D" w:rsidRPr="00760A4D" w:rsidRDefault="00760A4D" w:rsidP="00760A4D">
            <w:pPr>
              <w:spacing w:after="0" w:line="240" w:lineRule="auto"/>
              <w:ind w:left="113" w:right="113"/>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از محل پساب</w:t>
            </w:r>
          </w:p>
        </w:tc>
        <w:tc>
          <w:tcPr>
            <w:tcW w:w="758" w:type="pct"/>
            <w:shd w:val="clear" w:color="auto" w:fill="auto"/>
            <w:vAlign w:val="center"/>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کشاورزي</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60،000</w:t>
            </w:r>
          </w:p>
        </w:tc>
        <w:tc>
          <w:tcPr>
            <w:tcW w:w="467"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60،000</w:t>
            </w:r>
          </w:p>
        </w:tc>
      </w:tr>
      <w:tr w:rsidR="00760A4D" w:rsidRPr="00760A4D" w:rsidTr="00760A4D">
        <w:trPr>
          <w:trHeight w:val="360"/>
        </w:trPr>
        <w:tc>
          <w:tcPr>
            <w:tcW w:w="156" w:type="pct"/>
            <w:vMerge/>
            <w:shd w:val="clear" w:color="auto" w:fill="auto"/>
            <w:vAlign w:val="center"/>
          </w:tcPr>
          <w:p w:rsidR="00760A4D" w:rsidRPr="00760A4D" w:rsidRDefault="00760A4D" w:rsidP="00760A4D">
            <w:pPr>
              <w:spacing w:after="0" w:line="240" w:lineRule="auto"/>
              <w:jc w:val="center"/>
              <w:rPr>
                <w:rFonts w:ascii="Arial" w:eastAsia="Times New Roman" w:hAnsi="Arial" w:cs="B Zar"/>
                <w:b/>
                <w:bCs/>
                <w:sz w:val="16"/>
                <w:szCs w:val="16"/>
                <w:rtl/>
                <w:lang w:bidi="fa-IR"/>
              </w:rPr>
            </w:pPr>
          </w:p>
        </w:tc>
        <w:tc>
          <w:tcPr>
            <w:tcW w:w="758" w:type="pct"/>
            <w:shd w:val="clear" w:color="auto" w:fill="auto"/>
            <w:vAlign w:val="center"/>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صنعت و ساير مصارف*****</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220752</w:t>
            </w:r>
          </w:p>
        </w:tc>
        <w:tc>
          <w:tcPr>
            <w:tcW w:w="467"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1211760</w:t>
            </w:r>
          </w:p>
        </w:tc>
        <w:tc>
          <w:tcPr>
            <w:tcW w:w="438" w:type="pct"/>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1432512</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850،720</w:t>
            </w:r>
          </w:p>
        </w:tc>
        <w:tc>
          <w:tcPr>
            <w:tcW w:w="467"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2283232</w:t>
            </w:r>
          </w:p>
        </w:tc>
      </w:tr>
      <w:tr w:rsidR="00760A4D" w:rsidRPr="00760A4D" w:rsidTr="00760A4D">
        <w:trPr>
          <w:trHeight w:val="360"/>
        </w:trPr>
        <w:tc>
          <w:tcPr>
            <w:tcW w:w="156" w:type="pct"/>
            <w:vMerge/>
            <w:shd w:val="clear" w:color="auto" w:fill="auto"/>
            <w:vAlign w:val="center"/>
          </w:tcPr>
          <w:p w:rsidR="00760A4D" w:rsidRPr="00760A4D" w:rsidRDefault="00760A4D" w:rsidP="00760A4D">
            <w:pPr>
              <w:spacing w:after="0" w:line="240" w:lineRule="auto"/>
              <w:jc w:val="center"/>
              <w:rPr>
                <w:rFonts w:ascii="Arial" w:eastAsia="Times New Roman" w:hAnsi="Arial" w:cs="B Zar"/>
                <w:b/>
                <w:bCs/>
                <w:sz w:val="16"/>
                <w:szCs w:val="16"/>
                <w:rtl/>
                <w:lang w:bidi="fa-IR"/>
              </w:rPr>
            </w:pPr>
          </w:p>
        </w:tc>
        <w:tc>
          <w:tcPr>
            <w:tcW w:w="758" w:type="pct"/>
            <w:shd w:val="clear" w:color="auto" w:fill="auto"/>
            <w:vAlign w:val="center"/>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خدمات (تفريحي، توريستي، ...)</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6" w:type="pct"/>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rsidTr="00760A4D">
        <w:trPr>
          <w:trHeight w:val="360"/>
        </w:trPr>
        <w:tc>
          <w:tcPr>
            <w:tcW w:w="156" w:type="pct"/>
            <w:vMerge/>
            <w:shd w:val="clear" w:color="auto" w:fill="auto"/>
            <w:vAlign w:val="center"/>
          </w:tcPr>
          <w:p w:rsidR="00760A4D" w:rsidRPr="00760A4D" w:rsidRDefault="00760A4D" w:rsidP="00760A4D">
            <w:pPr>
              <w:spacing w:after="0" w:line="240" w:lineRule="auto"/>
              <w:jc w:val="center"/>
              <w:rPr>
                <w:rFonts w:ascii="Arial" w:eastAsia="Times New Roman" w:hAnsi="Arial" w:cs="B Zar"/>
                <w:b/>
                <w:bCs/>
                <w:sz w:val="16"/>
                <w:szCs w:val="16"/>
                <w:rtl/>
                <w:lang w:bidi="fa-IR"/>
              </w:rPr>
            </w:pPr>
          </w:p>
        </w:tc>
        <w:tc>
          <w:tcPr>
            <w:tcW w:w="758" w:type="pct"/>
            <w:shd w:val="clear" w:color="auto" w:fill="auto"/>
            <w:vAlign w:val="center"/>
          </w:tcPr>
          <w:p w:rsidR="00760A4D" w:rsidRPr="00760A4D" w:rsidRDefault="00760A4D" w:rsidP="00760A4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فضای سبز</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7"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5077296</w:t>
            </w:r>
          </w:p>
        </w:tc>
        <w:tc>
          <w:tcPr>
            <w:tcW w:w="438" w:type="pct"/>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315360</w:t>
            </w:r>
          </w:p>
        </w:tc>
        <w:tc>
          <w:tcPr>
            <w:tcW w:w="496" w:type="pct"/>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5392656</w:t>
            </w:r>
          </w:p>
        </w:tc>
        <w:tc>
          <w:tcPr>
            <w:tcW w:w="438"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369،360</w:t>
            </w:r>
          </w:p>
        </w:tc>
        <w:tc>
          <w:tcPr>
            <w:tcW w:w="467" w:type="pct"/>
            <w:shd w:val="clear" w:color="auto" w:fill="auto"/>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5762016</w:t>
            </w:r>
          </w:p>
        </w:tc>
      </w:tr>
      <w:tr w:rsidR="00760A4D" w:rsidRPr="00760A4D" w:rsidTr="00760A4D">
        <w:trPr>
          <w:trHeight w:val="207"/>
        </w:trPr>
        <w:tc>
          <w:tcPr>
            <w:tcW w:w="156" w:type="pct"/>
            <w:vMerge/>
            <w:shd w:val="clear" w:color="auto" w:fill="auto"/>
            <w:vAlign w:val="center"/>
          </w:tcPr>
          <w:p w:rsidR="00760A4D" w:rsidRPr="00760A4D" w:rsidRDefault="00760A4D" w:rsidP="00760A4D">
            <w:pPr>
              <w:spacing w:after="0" w:line="240" w:lineRule="auto"/>
              <w:jc w:val="center"/>
              <w:rPr>
                <w:rFonts w:ascii="Arial" w:eastAsia="Times New Roman" w:hAnsi="Arial" w:cs="B Zar"/>
                <w:b/>
                <w:bCs/>
                <w:sz w:val="16"/>
                <w:szCs w:val="16"/>
                <w:rtl/>
                <w:lang w:bidi="fa-IR"/>
              </w:rPr>
            </w:pPr>
          </w:p>
        </w:tc>
        <w:tc>
          <w:tcPr>
            <w:tcW w:w="758" w:type="pct"/>
            <w:shd w:val="clear" w:color="auto" w:fill="EAF1DD"/>
            <w:vAlign w:val="center"/>
          </w:tcPr>
          <w:p w:rsidR="00760A4D" w:rsidRPr="00760A4D" w:rsidRDefault="00760A4D" w:rsidP="00760A4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جمع</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220752</w:t>
            </w:r>
          </w:p>
        </w:tc>
        <w:tc>
          <w:tcPr>
            <w:tcW w:w="467"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6289056</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315360</w:t>
            </w:r>
          </w:p>
        </w:tc>
        <w:tc>
          <w:tcPr>
            <w:tcW w:w="496"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6825168</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1،280،080</w:t>
            </w:r>
          </w:p>
        </w:tc>
        <w:tc>
          <w:tcPr>
            <w:tcW w:w="467"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8105248</w:t>
            </w:r>
          </w:p>
        </w:tc>
      </w:tr>
      <w:tr w:rsidR="00760A4D" w:rsidRPr="00760A4D" w:rsidTr="00760A4D">
        <w:trPr>
          <w:trHeight w:val="231"/>
        </w:trPr>
        <w:tc>
          <w:tcPr>
            <w:tcW w:w="914" w:type="pct"/>
            <w:gridSpan w:val="2"/>
            <w:shd w:val="clear" w:color="auto" w:fill="EAF1DD"/>
            <w:vAlign w:val="center"/>
            <w:hideMark/>
          </w:tcPr>
          <w:p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 کل</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222252</w:t>
            </w:r>
          </w:p>
        </w:tc>
        <w:tc>
          <w:tcPr>
            <w:tcW w:w="467"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9"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550400</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6372156</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420060</w:t>
            </w:r>
          </w:p>
        </w:tc>
        <w:tc>
          <w:tcPr>
            <w:tcW w:w="496"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5"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7564868</w:t>
            </w:r>
          </w:p>
        </w:tc>
        <w:tc>
          <w:tcPr>
            <w:tcW w:w="438"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2،121،480</w:t>
            </w:r>
          </w:p>
        </w:tc>
        <w:tc>
          <w:tcPr>
            <w:tcW w:w="467" w:type="pct"/>
            <w:shd w:val="clear" w:color="auto" w:fill="EAF1DD"/>
            <w:vAlign w:val="center"/>
          </w:tcPr>
          <w:p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9686348</w:t>
            </w:r>
          </w:p>
        </w:tc>
      </w:tr>
    </w:tbl>
    <w:p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8"/>
          <w:szCs w:val="18"/>
          <w:rtl/>
          <w:lang w:eastAsia="zh-CN"/>
        </w:rPr>
        <w:t>*</w:t>
      </w:r>
      <w:r w:rsidRPr="00760A4D">
        <w:rPr>
          <w:rFonts w:ascii="Times New Roman" w:eastAsia="Times New Roman" w:hAnsi="Times New Roman" w:cs="B Nazanin" w:hint="cs"/>
          <w:b/>
          <w:bCs/>
          <w:color w:val="000000"/>
          <w:sz w:val="16"/>
          <w:szCs w:val="16"/>
          <w:rtl/>
          <w:lang w:eastAsia="zh-CN"/>
        </w:rPr>
        <w:t xml:space="preserve"> این تخصیص مربوط به طرح تغذیه مصنوعی و توسعه کشاورزی از منابع سیلابی تغذیه شده (طرح قدومه کویر) در حوضه آبریز کویر سیاه کوه می باشد</w:t>
      </w:r>
    </w:p>
    <w:p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**به حکم آرای صادره از مراجع قضایی ملزم به صدور پروانه حفر چاه شده است.</w:t>
      </w:r>
    </w:p>
    <w:p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 به حکم آرای صادره از مراجع قضایی ملزم به صدور مجوز تامین آب به میزان 150 لیتر در ثانیه می باشد.</w:t>
      </w:r>
    </w:p>
    <w:p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 در حوضه آبریز کارون بزرگ، میزان تخصیص برابر 7500 متر مکعب در سال به دلیل حکم آرای صادره از مراجع قضایی می باشد. در حوضه آبریز گاوخونی تخصیص به میزان 7500 متر مکعب در سال به مدت یک سال از طریق چاه اضطراری می باشد.</w:t>
      </w:r>
    </w:p>
    <w:p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*****تخصیص پساب از تصفیه خانه بوئین و میاندشت به میزان 1103760 متر مکعب در سال برای ایجاد و توسعه جنگل مصنوعی جهت بهره برداری اقتصادی از چوب و .. می باشد.</w:t>
      </w:r>
    </w:p>
    <w:p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تخصیص های پساب برای مصارف فضای سبز به میزان 3626640 متر مکعب در سال و صنعت به میزان 108000 متر مکعب در سال در حوضه آبریز گاوخونی به صورت یکساله می باشد.</w:t>
      </w:r>
    </w:p>
    <w:p w:rsidR="00737455" w:rsidRDefault="00760A4D" w:rsidP="00760A4D">
      <w:r w:rsidRPr="00760A4D">
        <w:rPr>
          <w:rFonts w:ascii="Times New Roman" w:eastAsia="Times New Roman" w:hAnsi="Times New Roman" w:cs="B Zar"/>
          <w:b/>
          <w:bCs/>
          <w:sz w:val="24"/>
          <w:szCs w:val="24"/>
          <w:rtl/>
          <w:lang w:eastAsia="zh-CN" w:bidi="fa-IR"/>
        </w:rPr>
        <w:br w:type="page"/>
      </w:r>
    </w:p>
    <w:sectPr w:rsidR="00737455" w:rsidSect="00760A4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4D"/>
    <w:rsid w:val="00737455"/>
    <w:rsid w:val="00760A4D"/>
    <w:rsid w:val="007D7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2DEE5-FD04-476D-B48A-25BD8BD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ربانی مهر مائده</dc:creator>
  <cp:keywords/>
  <dc:description/>
  <cp:lastModifiedBy>ربانی مهر مائده</cp:lastModifiedBy>
  <cp:revision>2</cp:revision>
  <dcterms:created xsi:type="dcterms:W3CDTF">2023-04-30T06:03:00Z</dcterms:created>
  <dcterms:modified xsi:type="dcterms:W3CDTF">2023-05-01T04:39:00Z</dcterms:modified>
</cp:coreProperties>
</file>